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5828F" w:sz="12" w:space="6"/>
        </w:pBdr>
        <w:spacing w:after="60" w:before="0"/>
      </w:pPr>
      <w:r>
        <w:rPr>
          <w:rFonts w:ascii="Calibri" w:cs="Calibri" w:eastAsia="Calibri" w:hAnsi="Calibri"/>
          <w:b/>
          <w:bCs/>
          <w:color w:val="16232F"/>
          <w:sz w:val="40"/>
          <w:szCs w:val="40"/>
        </w:rPr>
        <w:t xml:space="preserve">HOME HEALTH MARKETING PLAN</w:t>
      </w:r>
    </w:p>
    <w:p>
      <w:pPr>
        <w:spacing w:after="200" w:before="0"/>
      </w:pPr>
      <w:r>
        <w:rPr>
          <w:rFonts w:ascii="Calibri" w:cs="Calibri" w:eastAsia="Calibri" w:hAnsi="Calibri"/>
          <w:color w:val="4A5560"/>
          <w:sz w:val="19"/>
          <w:szCs w:val="19"/>
        </w:rPr>
        <w:t xml:space="preserve">Template from Approved Senior Network®</w:t>
      </w:r>
    </w:p>
    <w:p>
      <w:pPr>
        <w:spacing w:after="200" w:before="0"/>
      </w:pPr>
      <w:r>
        <w:rPr>
          <w:rFonts w:ascii="Calibri" w:cs="Calibri" w:eastAsia="Calibri" w:hAnsi="Calibri"/>
          <w:b/>
          <w:bCs/>
          <w:color w:val="16232F"/>
          <w:sz w:val="20"/>
          <w:szCs w:val="20"/>
        </w:rPr>
        <w:t xml:space="preserve">The test for a finished plan: </w:t>
      </w:r>
      <w:r>
        <w:rPr>
          <w:rFonts w:ascii="Calibri" w:cs="Calibri" w:eastAsia="Calibri" w:hAnsi="Calibri"/>
          <w:color w:val="16232F"/>
          <w:sz w:val="20"/>
          <w:szCs w:val="20"/>
        </w:rPr>
        <w:t xml:space="preserve">hand it to your liaison and ask what they are doing Tuesday. If they can answer from this document, it works. Most useful plans run six to ten pages filled 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Agency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Period</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Owner of this plan</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Last reviewed</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1. CURRENT STATE</w:t>
      </w:r>
    </w:p>
    <w:p>
      <w:pPr>
        <w:spacing w:after="120" w:before="0"/>
      </w:pPr>
      <w:r>
        <w:rPr>
          <w:rFonts w:ascii="Calibri" w:cs="Calibri" w:eastAsia="Calibri" w:hAnsi="Calibri"/>
          <w:i/>
          <w:iCs/>
          <w:color w:val="4A5560"/>
          <w:sz w:val="19"/>
          <w:szCs w:val="19"/>
        </w:rPr>
        <w:t xml:space="preserve">Start with data, not goals. Pull the last twelve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Referrals last 12 months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Referral to admission rate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Top 5 accounts by volume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Top 5 accounts by revenue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Lapsed accounts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Declines, capacity vs clinical</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2. CAPACITY</w:t>
      </w:r>
    </w:p>
    <w:p>
      <w:pPr>
        <w:spacing w:after="120" w:before="0"/>
      </w:pPr>
      <w:r>
        <w:rPr>
          <w:rFonts w:ascii="Calibri" w:cs="Calibri" w:eastAsia="Calibri" w:hAnsi="Calibri"/>
          <w:i/>
          <w:iCs/>
          <w:color w:val="4A5560"/>
          <w:sz w:val="19"/>
          <w:szCs w:val="19"/>
        </w:rPr>
        <w:t xml:space="preserve">State what you can actually staff before setting any growth target.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Current census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Clinicians by discipline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Open positions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Realistic monthly admission absorption</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3. TARGET</w:t>
      </w:r>
    </w:p>
    <w:p>
      <w:pPr>
        <w:spacing w:after="120" w:before="0"/>
      </w:pPr>
      <w:r>
        <w:rPr>
          <w:rFonts w:ascii="Calibri" w:cs="Calibri" w:eastAsia="Calibri" w:hAnsi="Calibri"/>
          <w:i/>
          <w:iCs/>
          <w:color w:val="4A5560"/>
          <w:sz w:val="19"/>
          <w:szCs w:val="19"/>
        </w:rPr>
        <w:t xml:space="preserve">Admissions, not referrals. Then work backward to the referrals and accounts it takes.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Annual admissions target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Quarterly breakdown</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Referrals required (target ÷ conversion rate)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New or reactivated accounts required</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4. ACCOUNT TARGETING</w:t>
      </w:r>
    </w:p>
    <w:p>
      <w:pPr>
        <w:spacing w:after="120" w:before="0"/>
      </w:pPr>
      <w:r>
        <w:rPr>
          <w:rFonts w:ascii="Calibri" w:cs="Calibri" w:eastAsia="Calibri" w:hAnsi="Calibri"/>
          <w:i/>
          <w:iCs/>
          <w:color w:val="4A5560"/>
          <w:sz w:val="19"/>
          <w:szCs w:val="19"/>
        </w:rPr>
        <w:t xml:space="preserve">Rank by realistic volume, not by how the visit feels.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Tier 1 (weekly)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Tier 2 (biweekly)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Tier 3 (monthly)</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Reactivation list, with first conversation for each</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5. TERRITORY AND ROUTE</w:t>
      </w:r>
    </w:p>
    <w:p>
      <w:pPr>
        <w:spacing w:after="120" w:before="0"/>
      </w:pPr>
      <w:r>
        <w:rPr>
          <w:rFonts w:ascii="Calibri" w:cs="Calibri" w:eastAsia="Calibri" w:hAnsi="Calibri"/>
          <w:i/>
          <w:iCs/>
          <w:color w:val="4A5560"/>
          <w:sz w:val="19"/>
          <w:szCs w:val="19"/>
        </w:rPr>
        <w:t xml:space="preserve">Which accounts, which days. A liaison without a route defaults to convenience.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2016"/>
        <w:gridCol w:w="2016"/>
        <w:gridCol w:w="2016"/>
        <w:gridCol w:w="2016"/>
      </w:tblGrid>
      <w:tr>
        <w:trPr>
          <w:tblHeader/>
        </w:trPr>
        <w:tc>
          <w:tcPr>
            <w:tcW w:type="dxa" w:w="2016"/>
            <w:tcBorders>
              <w:top w:val="single" w:color="C9C2B5" w:sz="4"/>
              <w:left w:val="single" w:color="C9C2B5" w:sz="4"/>
              <w:bottom w:val="single" w:color="C9C2B5" w:sz="4"/>
              <w:right w:val="single" w:color="C9C2B5" w:sz="4"/>
            </w:tcBorders>
            <w:shd w:fill="15828F" w:color="auto" w:val="clear"/>
            <w:tcMar>
              <w:top w:type="dxa" w:w="90"/>
              <w:left w:type="dxa" w:w="120"/>
              <w:bottom w:type="dxa" w:w="90"/>
              <w:right w:type="dxa" w:w="120"/>
            </w:tcMar>
          </w:tcPr>
          <w:p>
            <w:pPr>
              <w:spacing w:after="0" w:before="0"/>
              <w:jc w:val="center"/>
            </w:pPr>
            <w:r>
              <w:rPr>
                <w:rFonts w:ascii="Calibri" w:cs="Calibri" w:eastAsia="Calibri" w:hAnsi="Calibri"/>
                <w:b/>
                <w:bCs/>
                <w:color w:val="FFFFFF"/>
                <w:sz w:val="20"/>
                <w:szCs w:val="20"/>
              </w:rPr>
              <w:t xml:space="preserve">Monday</w:t>
            </w:r>
          </w:p>
        </w:tc>
        <w:tc>
          <w:tcPr>
            <w:tcW w:type="dxa" w:w="2016"/>
            <w:tcBorders>
              <w:top w:val="single" w:color="C9C2B5" w:sz="4"/>
              <w:left w:val="single" w:color="C9C2B5" w:sz="4"/>
              <w:bottom w:val="single" w:color="C9C2B5" w:sz="4"/>
              <w:right w:val="single" w:color="C9C2B5" w:sz="4"/>
            </w:tcBorders>
            <w:shd w:fill="15828F" w:color="auto" w:val="clear"/>
            <w:tcMar>
              <w:top w:type="dxa" w:w="90"/>
              <w:left w:type="dxa" w:w="120"/>
              <w:bottom w:type="dxa" w:w="90"/>
              <w:right w:type="dxa" w:w="120"/>
            </w:tcMar>
          </w:tcPr>
          <w:p>
            <w:pPr>
              <w:spacing w:after="0" w:before="0"/>
              <w:jc w:val="center"/>
            </w:pPr>
            <w:r>
              <w:rPr>
                <w:rFonts w:ascii="Calibri" w:cs="Calibri" w:eastAsia="Calibri" w:hAnsi="Calibri"/>
                <w:b/>
                <w:bCs/>
                <w:color w:val="FFFFFF"/>
                <w:sz w:val="20"/>
                <w:szCs w:val="20"/>
              </w:rPr>
              <w:t xml:space="preserve">Tuesday</w:t>
            </w:r>
          </w:p>
        </w:tc>
        <w:tc>
          <w:tcPr>
            <w:tcW w:type="dxa" w:w="2016"/>
            <w:tcBorders>
              <w:top w:val="single" w:color="C9C2B5" w:sz="4"/>
              <w:left w:val="single" w:color="C9C2B5" w:sz="4"/>
              <w:bottom w:val="single" w:color="C9C2B5" w:sz="4"/>
              <w:right w:val="single" w:color="C9C2B5" w:sz="4"/>
            </w:tcBorders>
            <w:shd w:fill="15828F" w:color="auto" w:val="clear"/>
            <w:tcMar>
              <w:top w:type="dxa" w:w="90"/>
              <w:left w:type="dxa" w:w="120"/>
              <w:bottom w:type="dxa" w:w="90"/>
              <w:right w:type="dxa" w:w="120"/>
            </w:tcMar>
          </w:tcPr>
          <w:p>
            <w:pPr>
              <w:spacing w:after="0" w:before="0"/>
              <w:jc w:val="center"/>
            </w:pPr>
            <w:r>
              <w:rPr>
                <w:rFonts w:ascii="Calibri" w:cs="Calibri" w:eastAsia="Calibri" w:hAnsi="Calibri"/>
                <w:b/>
                <w:bCs/>
                <w:color w:val="FFFFFF"/>
                <w:sz w:val="20"/>
                <w:szCs w:val="20"/>
              </w:rPr>
              <w:t xml:space="preserve">Wednesday</w:t>
            </w:r>
          </w:p>
        </w:tc>
        <w:tc>
          <w:tcPr>
            <w:tcW w:type="dxa" w:w="2016"/>
            <w:tcBorders>
              <w:top w:val="single" w:color="C9C2B5" w:sz="4"/>
              <w:left w:val="single" w:color="C9C2B5" w:sz="4"/>
              <w:bottom w:val="single" w:color="C9C2B5" w:sz="4"/>
              <w:right w:val="single" w:color="C9C2B5" w:sz="4"/>
            </w:tcBorders>
            <w:shd w:fill="15828F" w:color="auto" w:val="clear"/>
            <w:tcMar>
              <w:top w:type="dxa" w:w="90"/>
              <w:left w:type="dxa" w:w="120"/>
              <w:bottom w:type="dxa" w:w="90"/>
              <w:right w:type="dxa" w:w="120"/>
            </w:tcMar>
          </w:tcPr>
          <w:p>
            <w:pPr>
              <w:spacing w:after="0" w:before="0"/>
              <w:jc w:val="center"/>
            </w:pPr>
            <w:r>
              <w:rPr>
                <w:rFonts w:ascii="Calibri" w:cs="Calibri" w:eastAsia="Calibri" w:hAnsi="Calibri"/>
                <w:b/>
                <w:bCs/>
                <w:color w:val="FFFFFF"/>
                <w:sz w:val="20"/>
                <w:szCs w:val="20"/>
              </w:rPr>
              <w:t xml:space="preserve">Thursday</w:t>
            </w:r>
          </w:p>
        </w:tc>
        <w:tc>
          <w:tcPr>
            <w:tcW w:type="dxa" w:w="2016"/>
            <w:tcBorders>
              <w:top w:val="single" w:color="C9C2B5" w:sz="4"/>
              <w:left w:val="single" w:color="C9C2B5" w:sz="4"/>
              <w:bottom w:val="single" w:color="C9C2B5" w:sz="4"/>
              <w:right w:val="single" w:color="C9C2B5" w:sz="4"/>
            </w:tcBorders>
            <w:shd w:fill="15828F" w:color="auto" w:val="clear"/>
            <w:tcMar>
              <w:top w:type="dxa" w:w="90"/>
              <w:left w:type="dxa" w:w="120"/>
              <w:bottom w:type="dxa" w:w="90"/>
              <w:right w:type="dxa" w:w="120"/>
            </w:tcMar>
          </w:tcPr>
          <w:p>
            <w:pPr>
              <w:spacing w:after="0" w:before="0"/>
              <w:jc w:val="center"/>
            </w:pPr>
            <w:r>
              <w:rPr>
                <w:rFonts w:ascii="Calibri" w:cs="Calibri" w:eastAsia="Calibri" w:hAnsi="Calibri"/>
                <w:b/>
                <w:bCs/>
                <w:color w:val="FFFFFF"/>
                <w:sz w:val="20"/>
                <w:szCs w:val="20"/>
              </w:rPr>
              <w:t xml:space="preserve">Friday</w:t>
            </w:r>
          </w:p>
        </w:tc>
      </w:tr>
      <w:tr>
        <w:tc>
          <w:tcPr>
            <w:tcW w:type="dxa" w:w="2016"/>
            <w:tcBorders>
              <w:top w:val="single" w:color="C9C2B5" w:sz="4"/>
              <w:left w:val="single" w:color="C9C2B5" w:sz="4"/>
              <w:bottom w:val="single" w:color="C9C2B5" w:sz="4"/>
              <w:right w:val="single" w:color="C9C2B5" w:sz="4"/>
            </w:tcBorders>
            <w:tcMar>
              <w:top w:type="dxa" w:w="90"/>
              <w:left w:type="dxa" w:w="120"/>
              <w:bottom w:type="dxa" w:w="90"/>
              <w:right w:type="dxa" w:w="12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c>
          <w:tcPr>
            <w:tcW w:type="dxa" w:w="2016"/>
            <w:tcBorders>
              <w:top w:val="single" w:color="C9C2B5" w:sz="4"/>
              <w:left w:val="single" w:color="C9C2B5" w:sz="4"/>
              <w:bottom w:val="single" w:color="C9C2B5" w:sz="4"/>
              <w:right w:val="single" w:color="C9C2B5" w:sz="4"/>
            </w:tcBorders>
            <w:tcMar>
              <w:top w:type="dxa" w:w="90"/>
              <w:left w:type="dxa" w:w="120"/>
              <w:bottom w:type="dxa" w:w="90"/>
              <w:right w:type="dxa" w:w="12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c>
          <w:tcPr>
            <w:tcW w:type="dxa" w:w="2016"/>
            <w:tcBorders>
              <w:top w:val="single" w:color="C9C2B5" w:sz="4"/>
              <w:left w:val="single" w:color="C9C2B5" w:sz="4"/>
              <w:bottom w:val="single" w:color="C9C2B5" w:sz="4"/>
              <w:right w:val="single" w:color="C9C2B5" w:sz="4"/>
            </w:tcBorders>
            <w:tcMar>
              <w:top w:type="dxa" w:w="90"/>
              <w:left w:type="dxa" w:w="120"/>
              <w:bottom w:type="dxa" w:w="90"/>
              <w:right w:type="dxa" w:w="12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c>
          <w:tcPr>
            <w:tcW w:type="dxa" w:w="2016"/>
            <w:tcBorders>
              <w:top w:val="single" w:color="C9C2B5" w:sz="4"/>
              <w:left w:val="single" w:color="C9C2B5" w:sz="4"/>
              <w:bottom w:val="single" w:color="C9C2B5" w:sz="4"/>
              <w:right w:val="single" w:color="C9C2B5" w:sz="4"/>
            </w:tcBorders>
            <w:tcMar>
              <w:top w:type="dxa" w:w="90"/>
              <w:left w:type="dxa" w:w="120"/>
              <w:bottom w:type="dxa" w:w="90"/>
              <w:right w:type="dxa" w:w="12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c>
          <w:tcPr>
            <w:tcW w:type="dxa" w:w="2016"/>
            <w:tcBorders>
              <w:top w:val="single" w:color="C9C2B5" w:sz="4"/>
              <w:left w:val="single" w:color="C9C2B5" w:sz="4"/>
              <w:bottom w:val="single" w:color="C9C2B5" w:sz="4"/>
              <w:right w:val="single" w:color="C9C2B5" w:sz="4"/>
            </w:tcBorders>
            <w:tcMar>
              <w:top w:type="dxa" w:w="90"/>
              <w:left w:type="dxa" w:w="120"/>
              <w:bottom w:type="dxa" w:w="90"/>
              <w:right w:type="dxa" w:w="12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bl>
    <w:p>
      <w:pPr>
        <w:spacing w:after="60" w:before="0"/>
      </w:pPr>
      <w:r>
        <w:rPr>
          <w:rFonts w:ascii="Calibri" w:cs="Calibri" w:eastAsia="Calibri" w:hAnsi="Calibri"/>
          <w:color w:val="16232F"/>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Coverage owner</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6. WHAT GETS CARRIED</w:t>
      </w:r>
    </w:p>
    <w:p>
      <w:pPr>
        <w:spacing w:after="120" w:before="0"/>
      </w:pPr>
      <w:r>
        <w:rPr>
          <w:rFonts w:ascii="Calibri" w:cs="Calibri" w:eastAsia="Calibri" w:hAnsi="Calibri"/>
          <w:i/>
          <w:iCs/>
          <w:color w:val="4A5560"/>
          <w:sz w:val="19"/>
          <w:szCs w:val="19"/>
        </w:rPr>
        <w:t xml:space="preserve">Every visit needs a reason that is not “checking 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Existing materials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To create this quarter</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Compliance review needed on</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bl>
    <w:p>
      <w:pPr>
        <w:spacing w:after="120" w:before="100"/>
      </w:pPr>
      <w:r>
        <w:rPr>
          <w:rFonts w:ascii="Calibri" w:cs="Calibri" w:eastAsia="Calibri" w:hAnsi="Calibri"/>
          <w:b/>
          <w:bCs/>
          <w:color w:val="16232F"/>
          <w:sz w:val="18"/>
          <w:szCs w:val="18"/>
        </w:rPr>
        <w:t xml:space="preserve">Compliance: </w:t>
      </w:r>
      <w:r>
        <w:rPr>
          <w:rFonts w:ascii="Calibri" w:cs="Calibri" w:eastAsia="Calibri" w:hAnsi="Calibri"/>
          <w:i/>
          <w:iCs/>
          <w:color w:val="16232F"/>
          <w:sz w:val="18"/>
          <w:szCs w:val="18"/>
        </w:rPr>
        <w:t xml:space="preserve">what may be provided to a referral source is governed by federal rules in home health. Anything involving gifts, meals, sponsorships, or items of value should be reviewed by your healthcare counsel or compliance officer before it goes in this plan.</w:t>
      </w:r>
    </w:p>
    <w:p>
      <w:pPr>
        <w:pStyle w:val="Heading2"/>
        <w:spacing w:after="60" w:before="320"/>
      </w:pPr>
      <w:r>
        <w:rPr>
          <w:rFonts w:ascii="Calibri" w:cs="Calibri" w:eastAsia="Calibri" w:hAnsi="Calibri"/>
          <w:b/>
          <w:bCs/>
          <w:color w:val="15828F"/>
          <w:sz w:val="26"/>
          <w:szCs w:val="26"/>
        </w:rPr>
        <w:t xml:space="preserve">7. SUPPORTING ACTIVITY</w:t>
      </w:r>
    </w:p>
    <w:p>
      <w:pPr>
        <w:spacing w:after="120" w:before="0"/>
      </w:pPr>
      <w:r>
        <w:rPr>
          <w:rFonts w:ascii="Calibri" w:cs="Calibri" w:eastAsia="Calibri" w:hAnsi="Calibri"/>
          <w:i/>
          <w:iCs/>
          <w:color w:val="4A5560"/>
          <w:sz w:val="19"/>
          <w:szCs w:val="19"/>
        </w:rPr>
        <w:t xml:space="preserve">The non-field work that makes the field work land.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Website</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Content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Recruiting</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Reviews</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Intake response target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tc>
      </w:tr>
    </w:tbl>
    <w:p>
      <w:pPr>
        <w:pStyle w:val="Heading2"/>
        <w:spacing w:after="60" w:before="320"/>
      </w:pPr>
      <w:r>
        <w:rPr>
          <w:rFonts w:ascii="Calibri" w:cs="Calibri" w:eastAsia="Calibri" w:hAnsi="Calibri"/>
          <w:b/>
          <w:bCs/>
          <w:color w:val="15828F"/>
          <w:sz w:val="26"/>
          <w:szCs w:val="26"/>
        </w:rPr>
        <w:t xml:space="preserve">8. REVIEW CADENCE</w:t>
      </w:r>
    </w:p>
    <w:p>
      <w:pPr>
        <w:spacing w:after="120" w:before="0"/>
      </w:pPr>
      <w:r>
        <w:rPr>
          <w:rFonts w:ascii="Calibri" w:cs="Calibri" w:eastAsia="Calibri" w:hAnsi="Calibri"/>
          <w:i/>
          <w:iCs/>
          <w:color w:val="4A5560"/>
          <w:sz w:val="19"/>
          <w:szCs w:val="19"/>
        </w:rPr>
        <w:t xml:space="preserve">Without this section the plan is a document. With it, it is a process.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Weekly: who and what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Monthly: who and what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r>
        <w:trPr>
          <w:cantSplit/>
        </w:trPr>
        <w:tc>
          <w:tcPr>
            <w:tcW w:type="dxa" w:w="3600"/>
            <w:tcBorders>
              <w:top w:val="single" w:color="C9C2B5" w:sz="4"/>
              <w:left w:val="single" w:color="C9C2B5" w:sz="4"/>
              <w:bottom w:val="single" w:color="C9C2B5" w:sz="4"/>
              <w:right w:val="single" w:color="C9C2B5" w:sz="4"/>
            </w:tcBorders>
            <w:shd w:fill="F2EDE4" w:color="auto" w:val="clear"/>
            <w:tcMar>
              <w:top w:type="dxa" w:w="90"/>
              <w:left w:type="dxa" w:w="140"/>
              <w:bottom w:type="dxa" w:w="90"/>
              <w:right w:type="dxa" w:w="140"/>
            </w:tcMar>
          </w:tcPr>
          <w:p>
            <w:pPr>
              <w:spacing w:after="0" w:before="0"/>
            </w:pPr>
            <w:r>
              <w:rPr>
                <w:rFonts w:ascii="Calibri" w:cs="Calibri" w:eastAsia="Calibri" w:hAnsi="Calibri"/>
                <w:b/>
                <w:bCs/>
                <w:color w:val="16232F"/>
                <w:sz w:val="20"/>
                <w:szCs w:val="20"/>
              </w:rPr>
              <w:t xml:space="preserve">Quarterly: who and what</w:t>
            </w:r>
          </w:p>
        </w:tc>
        <w:tc>
          <w:tcPr>
            <w:tcW w:type="dxa" w:w="6480"/>
            <w:tcBorders>
              <w:top w:val="single" w:color="C9C2B5" w:sz="4"/>
              <w:left w:val="single" w:color="C9C2B5" w:sz="4"/>
              <w:bottom w:val="single" w:color="C9C2B5" w:sz="4"/>
              <w:right w:val="single" w:color="C9C2B5" w:sz="4"/>
            </w:tcBorders>
            <w:tcMar>
              <w:top w:type="dxa" w:w="90"/>
              <w:left w:type="dxa" w:w="140"/>
              <w:bottom w:type="dxa" w:w="90"/>
              <w:right w:type="dxa" w:w="140"/>
            </w:tcMar>
          </w:tcPr>
          <w:p>
            <w:pPr>
              <w:spacing w:after="0" w:before="0"/>
            </w:pPr>
            <w:r>
              <w:rPr>
                <w:rFonts w:ascii="Calibri" w:cs="Calibri" w:eastAsia="Calibri" w:hAnsi="Calibri"/>
                <w:color w:val="16232F"/>
                <w:sz w:val="21"/>
                <w:szCs w:val="21"/>
              </w:rPr>
              <w:t xml:space="preserve"/>
            </w:r>
          </w:p>
          <w:p>
            <w:pPr>
              <w:spacing w:after="0" w:before="0"/>
            </w:pPr>
            <w:r>
              <w:rPr>
                <w:rFonts w:ascii="Calibri" w:cs="Calibri" w:eastAsia="Calibri" w:hAnsi="Calibri"/>
                <w:color w:val="16232F"/>
                <w:sz w:val="21"/>
                <w:szCs w:val="21"/>
              </w:rPr>
              <w:t xml:space="preserve"/>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Calibri" w:cs="Calibri" w:eastAsia="Calibri" w:hAnsi="Calibri"/>
        <w:color w:val="4A5560"/>
        <w:sz w:val="16"/>
        <w:szCs w:val="16"/>
      </w:rPr>
      <w:t xml:space="preserve">Approved Senior Network®  |  asnhomecaremarketing.com/home-health-marketing-plan  |  Page </w:t>
    </w:r>
    <w:r>
      <w:rPr>
        <w:rFonts w:ascii="Calibri" w:cs="Calibri" w:eastAsia="Calibri" w:hAnsi="Calibri"/>
        <w:color w:val="4A556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232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 Marketing Plan Template</dc:title>
  <dc:creator>Approved Senior Network</dc:creator>
  <dc:description>Fill-in template for a home health marketing plan, eight sections.</dc:description>
  <cp:lastModifiedBy>Un-named</cp:lastModifiedBy>
  <cp:revision>1</cp:revision>
  <dcterms:created xsi:type="dcterms:W3CDTF">2026-09-23T15:47:08.168Z</dcterms:created>
  <dcterms:modified xsi:type="dcterms:W3CDTF">2026-09-23T15:47:08.168Z</dcterms:modified>
</cp:coreProperties>
</file>

<file path=docProps/custom.xml><?xml version="1.0" encoding="utf-8"?>
<Properties xmlns="http://schemas.openxmlformats.org/officeDocument/2006/custom-properties" xmlns:vt="http://schemas.openxmlformats.org/officeDocument/2006/docPropsVTypes"/>
</file>